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6"/>
        <w:ind w:left="6096" w:right="142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66"/>
        <w:ind w:left="5812"/>
        <w:keepNext/>
        <w:spacing w:after="0" w:line="240" w:lineRule="auto"/>
        <w:shd w:val="clear" w:color="auto" w:fill="ffffff"/>
        <w:widowControl w:val="off"/>
        <w:rPr>
          <w:rFonts w:ascii="Times New Roman" w:hAnsi="Times New Roman"/>
          <w:sz w:val="28"/>
          <w:szCs w:val="28"/>
        </w:rPr>
        <w:outlineLvl w:val="0"/>
      </w:pPr>
      <w:r>
        <w:rPr>
          <w:rFonts w:ascii="Times New Roman" w:hAnsi="Times New Roman"/>
          <w:sz w:val="28"/>
          <w:szCs w:val="28"/>
        </w:rPr>
        <w:t xml:space="preserve">Приложение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6"/>
        <w:ind w:left="5812"/>
        <w:keepNext/>
        <w:spacing w:after="0" w:line="240" w:lineRule="auto"/>
        <w:shd w:val="clear" w:color="auto" w:fill="ffffff"/>
        <w:widowControl w:val="off"/>
        <w:rPr>
          <w:rFonts w:ascii="Times New Roman" w:hAnsi="Times New Roman"/>
          <w:sz w:val="28"/>
          <w:szCs w:val="28"/>
        </w:rPr>
        <w:outlineLvl w:val="0"/>
      </w:pPr>
      <w:r>
        <w:rPr>
          <w:rFonts w:ascii="Times New Roman" w:hAnsi="Times New Roman"/>
          <w:sz w:val="28"/>
          <w:szCs w:val="28"/>
        </w:rPr>
        <w:t xml:space="preserve">к распоряжению Правительства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6"/>
        <w:ind w:left="5812"/>
        <w:keepNext/>
        <w:spacing w:after="0" w:line="240" w:lineRule="auto"/>
        <w:shd w:val="clear" w:color="auto" w:fill="ffffff"/>
        <w:widowControl w:val="off"/>
        <w:rPr>
          <w:rFonts w:ascii="Times New Roman" w:hAnsi="Times New Roman"/>
          <w:sz w:val="28"/>
          <w:szCs w:val="28"/>
        </w:rPr>
        <w:outlineLvl w:val="0"/>
      </w:pPr>
      <w:r>
        <w:rPr>
          <w:rFonts w:ascii="Times New Roman" w:hAnsi="Times New Roman"/>
          <w:sz w:val="28"/>
          <w:szCs w:val="28"/>
        </w:rPr>
        <w:t xml:space="preserve">Московской области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6"/>
        <w:ind w:left="5812"/>
        <w:keepNext/>
        <w:spacing w:after="0" w:line="240" w:lineRule="auto"/>
        <w:shd w:val="clear" w:color="auto" w:fill="ffffff"/>
        <w:widowControl w:val="off"/>
        <w:rPr>
          <w:rFonts w:ascii="Times New Roman" w:hAnsi="Times New Roman"/>
          <w:sz w:val="28"/>
          <w:szCs w:val="28"/>
        </w:rPr>
        <w:outlineLvl w:val="0"/>
      </w:pPr>
      <w:r>
        <w:rPr>
          <w:rFonts w:ascii="Times New Roman" w:hAnsi="Times New Roman"/>
          <w:sz w:val="28"/>
          <w:szCs w:val="28"/>
        </w:rPr>
        <w:t xml:space="preserve">от _____________№__________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6"/>
        <w:ind w:right="1255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66"/>
        <w:ind w:right="142"/>
        <w:jc w:val="right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Проект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66"/>
        <w:ind w:right="-2"/>
        <w:jc w:val="center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66"/>
        <w:ind w:right="-2"/>
        <w:jc w:val="center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66"/>
        <w:ind w:right="-2"/>
        <w:jc w:val="center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66"/>
        <w:ind w:right="-2"/>
        <w:jc w:val="center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66"/>
        <w:ind w:right="-2"/>
        <w:jc w:val="center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66"/>
        <w:ind w:right="-2"/>
        <w:jc w:val="center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66"/>
        <w:ind w:right="-2"/>
        <w:jc w:val="center"/>
        <w:spacing w:after="0" w:line="240" w:lineRule="auto"/>
        <w:rPr>
          <w:rFonts w:ascii="Times New Roman" w:hAnsi="Times New Roman" w:eastAsia="Times New Roman"/>
          <w:b/>
          <w:sz w:val="32"/>
          <w:szCs w:val="32"/>
          <w:lang w:eastAsia="ru-RU"/>
        </w:rPr>
      </w:pPr>
      <w:r>
        <w:rPr>
          <w:rFonts w:ascii="Times New Roman" w:hAnsi="Times New Roman" w:eastAsia="Times New Roman"/>
          <w:b/>
          <w:sz w:val="32"/>
          <w:szCs w:val="32"/>
          <w:lang w:eastAsia="ru-RU"/>
        </w:rPr>
        <w:t xml:space="preserve">ЗАКОН МОСКОВСКОЙ ОБЛАСТИ</w:t>
      </w:r>
      <w:r>
        <w:rPr>
          <w:rFonts w:ascii="Times New Roman" w:hAnsi="Times New Roman" w:eastAsia="Times New Roman"/>
          <w:b/>
          <w:sz w:val="32"/>
          <w:szCs w:val="32"/>
          <w:lang w:eastAsia="ru-RU"/>
        </w:rPr>
      </w:r>
      <w:r>
        <w:rPr>
          <w:rFonts w:ascii="Times New Roman" w:hAnsi="Times New Roman" w:eastAsia="Times New Roman"/>
          <w:b/>
          <w:sz w:val="32"/>
          <w:szCs w:val="32"/>
          <w:lang w:eastAsia="ru-RU"/>
        </w:rPr>
      </w:r>
    </w:p>
    <w:p>
      <w:pPr>
        <w:pStyle w:val="866"/>
        <w:ind w:right="1255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66"/>
        <w:ind w:right="1255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66"/>
        <w:ind w:right="1255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66"/>
        <w:ind w:left="1418" w:right="1418"/>
        <w:jc w:val="both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Закон Московской области «О бюджете Территориального фонда обязательного медицинского страхования Московской области </w:t>
      </w:r>
      <w:r>
        <w:rPr>
          <w:rFonts w:ascii="Times New Roman" w:hAnsi="Times New Roman"/>
          <w:b/>
          <w:bCs/>
          <w:sz w:val="28"/>
          <w:szCs w:val="28"/>
        </w:rPr>
        <w:br w:type="textWrapping" w:clear="all"/>
      </w:r>
      <w:r>
        <w:rPr>
          <w:rFonts w:ascii="Times New Roman" w:hAnsi="Times New Roman"/>
          <w:b/>
          <w:bCs/>
          <w:sz w:val="28"/>
          <w:szCs w:val="28"/>
        </w:rPr>
        <w:t xml:space="preserve">на 2026</w:t>
      </w:r>
      <w:r>
        <w:rPr>
          <w:rFonts w:ascii="Times New Roman" w:hAnsi="Times New Roman"/>
          <w:b/>
          <w:bCs/>
          <w:sz w:val="28"/>
          <w:szCs w:val="28"/>
        </w:rPr>
        <w:t xml:space="preserve"> год и на плановый период 2027</w:t>
      </w:r>
      <w:r>
        <w:rPr>
          <w:rFonts w:ascii="Times New Roman" w:hAnsi="Times New Roman"/>
          <w:b/>
          <w:bCs/>
          <w:sz w:val="28"/>
          <w:szCs w:val="28"/>
        </w:rPr>
        <w:t xml:space="preserve"> и 20</w:t>
      </w:r>
      <w:r>
        <w:rPr>
          <w:rFonts w:ascii="Times New Roman" w:hAnsi="Times New Roman"/>
          <w:b/>
          <w:bCs/>
          <w:sz w:val="28"/>
          <w:szCs w:val="28"/>
        </w:rPr>
        <w:t xml:space="preserve">28</w:t>
      </w:r>
      <w:r>
        <w:rPr>
          <w:rFonts w:ascii="Times New Roman" w:hAnsi="Times New Roman"/>
          <w:b/>
          <w:bCs/>
          <w:sz w:val="28"/>
          <w:szCs w:val="28"/>
        </w:rPr>
        <w:t xml:space="preserve"> годов»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866"/>
        <w:ind w:left="1418" w:right="1416"/>
        <w:jc w:val="both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pStyle w:val="866"/>
        <w:ind w:left="1418" w:right="1416"/>
        <w:jc w:val="both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pStyle w:val="866"/>
        <w:ind w:left="1418" w:right="1416"/>
        <w:jc w:val="both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pStyle w:val="866"/>
        <w:ind w:right="-91" w:firstLine="709"/>
        <w:jc w:val="both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Статья 1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866"/>
        <w:ind w:right="-91" w:firstLine="709"/>
        <w:jc w:val="both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866"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в Закон Московской области № 234</w:t>
      </w:r>
      <w:r>
        <w:rPr>
          <w:rFonts w:ascii="Times New Roman" w:hAnsi="Times New Roman"/>
          <w:sz w:val="28"/>
          <w:szCs w:val="28"/>
        </w:rPr>
        <w:t xml:space="preserve">/2025</w:t>
      </w:r>
      <w:r>
        <w:rPr>
          <w:rFonts w:ascii="Times New Roman" w:hAnsi="Times New Roman"/>
          <w:sz w:val="28"/>
          <w:szCs w:val="28"/>
        </w:rPr>
        <w:t xml:space="preserve">-ОЗ «О бюджете Территориального фонда обязательного медицинского страхования Московской области на 2026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2027</w:t>
      </w:r>
      <w:r>
        <w:rPr>
          <w:rFonts w:ascii="Times New Roman" w:hAnsi="Times New Roman"/>
          <w:sz w:val="28"/>
          <w:szCs w:val="28"/>
        </w:rPr>
        <w:t xml:space="preserve"> и 2028</w:t>
      </w:r>
      <w:r>
        <w:rPr>
          <w:rFonts w:ascii="Times New Roman" w:hAnsi="Times New Roman"/>
          <w:sz w:val="28"/>
          <w:szCs w:val="28"/>
        </w:rPr>
        <w:t xml:space="preserve"> годов» </w:t>
        <w:br w:type="textWrapping" w:clear="all"/>
        <w:t xml:space="preserve">следующие изменения: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6"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  <w:highlight w:val="yellow"/>
        </w:rPr>
      </w:r>
      <w:r>
        <w:rPr>
          <w:rFonts w:ascii="Times New Roman" w:hAnsi="Times New Roman"/>
          <w:sz w:val="28"/>
          <w:szCs w:val="28"/>
          <w:highlight w:val="yellow"/>
        </w:rPr>
      </w:r>
      <w:r>
        <w:rPr>
          <w:rFonts w:ascii="Times New Roman" w:hAnsi="Times New Roman"/>
          <w:sz w:val="28"/>
          <w:szCs w:val="28"/>
          <w:highlight w:val="yellow"/>
        </w:rPr>
      </w:r>
    </w:p>
    <w:p>
      <w:pPr>
        <w:pStyle w:val="866"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 xml:space="preserve">стать</w:t>
      </w:r>
      <w:r>
        <w:rPr>
          <w:rFonts w:ascii="Times New Roman" w:hAnsi="Times New Roman"/>
          <w:sz w:val="28"/>
          <w:szCs w:val="28"/>
        </w:rPr>
        <w:t xml:space="preserve">ю</w:t>
      </w:r>
      <w:r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 xml:space="preserve"> изложить </w:t>
      </w:r>
      <w:r>
        <w:rPr>
          <w:rFonts w:ascii="Times New Roman" w:hAnsi="Times New Roman"/>
          <w:sz w:val="28"/>
          <w:szCs w:val="28"/>
        </w:rPr>
        <w:t xml:space="preserve">в следующей редакции</w:t>
      </w:r>
      <w:r>
        <w:rPr>
          <w:rFonts w:ascii="Times New Roman" w:hAnsi="Times New Roman"/>
          <w:sz w:val="28"/>
          <w:szCs w:val="28"/>
        </w:rPr>
        <w:t xml:space="preserve">: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88"/>
        <w:ind w:firstLine="709"/>
        <w:jc w:val="both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Статья 1. </w:t>
      </w:r>
      <w:r>
        <w:rPr>
          <w:rFonts w:ascii="Times New Roman" w:hAnsi="Times New Roman" w:cs="Times New Roman"/>
          <w:sz w:val="28"/>
          <w:szCs w:val="28"/>
        </w:rPr>
        <w:t xml:space="preserve">Основные характеристики бюджета Территориального фонда обязательного медицинского страхования Московской области на 2026 год и на плановый период 2027 и 2028 годов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1"/>
        <w:ind w:firstLine="709"/>
        <w:jc w:val="both"/>
      </w:pPr>
      <w:r/>
      <w:r/>
    </w:p>
    <w:p>
      <w:pPr>
        <w:pStyle w:val="881"/>
        <w:ind w:firstLine="709"/>
        <w:jc w:val="both"/>
      </w:pPr>
      <w:r>
        <w:t xml:space="preserve">1. Утвердить основные характеристики бюджета Территориального фонда обязательного медицинск</w:t>
      </w:r>
      <w:r>
        <w:t xml:space="preserve">ого страхования Московской области </w:t>
      </w:r>
      <w:r>
        <w:br/>
        <w:t xml:space="preserve">(далее − Фонд) на 2026 год:</w:t>
      </w:r>
      <w:r/>
    </w:p>
    <w:p>
      <w:pPr>
        <w:pStyle w:val="881"/>
        <w:ind w:firstLine="709"/>
        <w:jc w:val="both"/>
      </w:pPr>
      <w:r>
        <w:t xml:space="preserve">1) </w:t>
      </w:r>
      <w:r>
        <w:t xml:space="preserve">прогнозируемый общий объем доходов бюджета Фонда в сумме </w:t>
        <w:br/>
        <w:t xml:space="preserve">240 681 722,9 </w:t>
      </w:r>
      <w:r>
        <w:t xml:space="preserve">тыс. рублей, в том числе за счет межбюджетных трансфертов, получаемых из бюджета Федерального фонда обязательного медицинского страхования в сумме </w:t>
      </w:r>
      <w:r>
        <w:t xml:space="preserve">197 542 276,8</w:t>
      </w:r>
      <w:r>
        <w:t xml:space="preserve"> тыс. рублей, бюджета Московской области </w:t>
      </w:r>
      <w:r>
        <w:t xml:space="preserve">в сумме 27 875 769,0</w:t>
      </w:r>
      <w:r>
        <w:t xml:space="preserve"> тыс. рублей, бюджетов территориальных фондов обязательного медицинского страхования субъектов Российской Федерации в сумме </w:t>
      </w:r>
      <w:r>
        <w:t xml:space="preserve">14 524 049,7</w:t>
      </w:r>
      <w:r>
        <w:t xml:space="preserve"> тыс. рублей</w:t>
      </w:r>
      <w:r>
        <w:t xml:space="preserve">;</w:t>
      </w:r>
      <w:r/>
    </w:p>
    <w:p>
      <w:pPr>
        <w:pStyle w:val="881"/>
        <w:ind w:firstLine="709"/>
        <w:jc w:val="both"/>
        <w:rPr>
          <w:highlight w:val="none"/>
        </w:rPr>
      </w:pPr>
      <w:r>
        <w:t xml:space="preserve">2</w:t>
      </w:r>
      <w:r>
        <w:t xml:space="preserve">) общий объем расходов бюджета Фонда в сумме </w:t>
      </w:r>
      <w:r>
        <w:br/>
        <w:t xml:space="preserve">240 899 830,4</w:t>
      </w:r>
      <w:r>
        <w:t xml:space="preserve"> тыс. рублей;</w:t>
      </w:r>
      <w:r>
        <w:rPr>
          <w:highlight w:val="none"/>
        </w:rPr>
      </w:r>
      <w:r>
        <w:rPr>
          <w:highlight w:val="none"/>
        </w:rPr>
      </w:r>
    </w:p>
    <w:p>
      <w:pPr>
        <w:pStyle w:val="881"/>
        <w:ind w:firstLine="709"/>
        <w:jc w:val="both"/>
      </w:pPr>
      <w:r>
        <w:rPr>
          <w:highlight w:val="none"/>
        </w:rPr>
      </w:r>
      <w:r>
        <w:rPr>
          <w:rFonts w:ascii="Times New Roman" w:hAnsi="Times New Roman"/>
          <w:sz w:val="28"/>
          <w:szCs w:val="28"/>
        </w:rPr>
        <w:t xml:space="preserve">3) объем дефицита бюджета Фонда в сумме </w:t>
      </w:r>
      <w:r>
        <w:rPr>
          <w:rFonts w:ascii="Times New Roman" w:hAnsi="Times New Roman"/>
          <w:sz w:val="28"/>
          <w:szCs w:val="28"/>
        </w:rPr>
        <w:t xml:space="preserve">218 107,5</w:t>
      </w:r>
      <w:r>
        <w:rPr>
          <w:rFonts w:ascii="Times New Roman" w:hAnsi="Times New Roman"/>
          <w:sz w:val="28"/>
          <w:szCs w:val="28"/>
        </w:rPr>
        <w:t xml:space="preserve"> тыс. рублей.</w:t>
      </w:r>
      <w:r>
        <w:rPr>
          <w:highlight w:val="none"/>
        </w:rPr>
      </w:r>
      <w:r/>
    </w:p>
    <w:p>
      <w:pPr>
        <w:pStyle w:val="881"/>
        <w:ind w:firstLine="709"/>
        <w:jc w:val="both"/>
        <w:rPr>
          <w:highlight w:val="white"/>
        </w:rPr>
      </w:pPr>
      <w:r>
        <w:rPr>
          <w:highlight w:val="white"/>
        </w:rPr>
        <w:t xml:space="preserve">2. Утвердить основные характеристики бюджета Фонда на плановый период 2027 и 2028 годов:</w:t>
      </w:r>
      <w:r>
        <w:rPr>
          <w:highlight w:val="white"/>
        </w:rPr>
      </w:r>
      <w:r>
        <w:rPr>
          <w:highlight w:val="white"/>
        </w:rPr>
      </w:r>
    </w:p>
    <w:p>
      <w:pPr>
        <w:pStyle w:val="881"/>
        <w:ind w:firstLine="709"/>
        <w:jc w:val="both"/>
        <w:rPr>
          <w:highlight w:val="white"/>
        </w:rPr>
      </w:pPr>
      <w:r>
        <w:rPr>
          <w:highlight w:val="white"/>
        </w:rPr>
        <w:t xml:space="preserve">1) прогнозируемый общий объем доходов бюджета Фонда на 2027 год </w:t>
      </w:r>
      <w:r>
        <w:rPr>
          <w:highlight w:val="white"/>
        </w:rPr>
        <w:t xml:space="preserve">в сумм</w:t>
      </w:r>
      <w:r>
        <w:rPr>
          <w:highlight w:val="white"/>
        </w:rPr>
        <w:t xml:space="preserve">е 252 759 117,7 тыс. </w:t>
      </w:r>
      <w:r>
        <w:rPr>
          <w:highlight w:val="white"/>
        </w:rPr>
        <w:t xml:space="preserve">руб</w:t>
      </w:r>
      <w:r>
        <w:rPr>
          <w:highlight w:val="white"/>
        </w:rPr>
        <w:t xml:space="preserve">лей, в том числе за счет межбюджетных трансфертов, получаемых из бюджета Федерального фонда обязательного медицинского страхования в сумме </w:t>
      </w:r>
      <w:r>
        <w:rPr>
          <w:highlight w:val="white"/>
        </w:rPr>
        <w:t xml:space="preserve">213 058 576,3 тыс. рублей, бюджета Московской области в сумме </w:t>
      </w:r>
      <w:r>
        <w:rPr>
          <w:highlight w:val="white"/>
        </w:rPr>
        <w:t xml:space="preserve">24 482 875,0</w:t>
      </w:r>
      <w:r>
        <w:rPr>
          <w:highlight w:val="white"/>
        </w:rPr>
        <w:t xml:space="preserve"> тыс. рублей, бюджетов </w:t>
      </w:r>
      <w:r>
        <w:rPr>
          <w:highlight w:val="white"/>
        </w:rPr>
        <w:t xml:space="preserve">территориальных фонд</w:t>
      </w:r>
      <w:r>
        <w:rPr>
          <w:highlight w:val="white"/>
        </w:rPr>
        <w:t xml:space="preserve">ов обязательного медицинского страхования субъектов Российской Федерации в сумме 14 448 453,9 тыс. р</w:t>
      </w:r>
      <w:r>
        <w:rPr>
          <w:highlight w:val="white"/>
        </w:rPr>
        <w:t xml:space="preserve">ублей,</w:t>
      </w:r>
      <w:r>
        <w:rPr>
          <w:color w:val="ff0000"/>
          <w:highlight w:val="white"/>
        </w:rPr>
        <w:t xml:space="preserve"> </w:t>
      </w:r>
      <w:r>
        <w:rPr>
          <w:highlight w:val="white"/>
        </w:rPr>
        <w:t xml:space="preserve">и на 2028 год в сумме </w:t>
      </w:r>
      <w:r>
        <w:rPr>
          <w:highlight w:val="white"/>
        </w:rPr>
        <w:t xml:space="preserve">269 126 114,6</w:t>
      </w:r>
      <w:r>
        <w:rPr>
          <w:highlight w:val="white"/>
        </w:rPr>
        <w:t xml:space="preserve"> тыс. рублей, в том числе за счет межбюджетных трансфертов, получаемых из бюджета Федерального фонда обязательного</w:t>
      </w:r>
      <w:r>
        <w:rPr>
          <w:highlight w:val="white"/>
        </w:rPr>
        <w:t xml:space="preserve"> медицинского страхования в сумме 228 703 086,5 тыс. рублей, бюджета Московской области </w:t>
      </w:r>
      <w:r>
        <w:rPr>
          <w:highlight w:val="white"/>
        </w:rPr>
        <w:t xml:space="preserve">в сумме 24 596 655,0 тыс. рублей, бюджетов территориальных фондов обязательного медицинского страхования субъектов Российской Федерации в сумме 15 026 392,1 тыс. рублей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881"/>
        <w:ind w:firstLine="709"/>
        <w:jc w:val="both"/>
        <w:rPr>
          <w:highlight w:val="white"/>
        </w:rPr>
      </w:pPr>
      <w:r>
        <w:rPr>
          <w:highlight w:val="white"/>
        </w:rPr>
        <w:t xml:space="preserve">2) общий объем расходов бюджета Фонда на 2027 год в сумме</w:t>
      </w:r>
      <w:r>
        <w:rPr>
          <w:highlight w:val="cyan"/>
        </w:rPr>
        <w:t xml:space="preserve"> </w:t>
      </w:r>
      <w:r>
        <w:rPr>
          <w:highlight w:val="cyan"/>
        </w:rPr>
        <w:br/>
      </w:r>
      <w:r>
        <w:rPr>
          <w:highlight w:val="white"/>
        </w:rPr>
        <w:t xml:space="preserve">252 759 117,7</w:t>
      </w:r>
      <w:r>
        <w:rPr>
          <w:highlight w:val="white"/>
        </w:rPr>
        <w:t xml:space="preserve"> </w:t>
      </w:r>
      <w:r>
        <w:rPr>
          <w:highlight w:val="white"/>
        </w:rPr>
        <w:t xml:space="preserve">тыс. рублей и на 2028 год в сумме </w:t>
      </w:r>
      <w:r>
        <w:rPr>
          <w:highlight w:val="white"/>
        </w:rPr>
        <w:t xml:space="preserve">269 126 114,6</w:t>
      </w:r>
      <w:r>
        <w:rPr>
          <w:highlight w:val="white"/>
        </w:rPr>
        <w:t xml:space="preserve"> </w:t>
      </w:r>
      <w:r>
        <w:rPr>
          <w:highlight w:val="white"/>
        </w:rPr>
        <w:t xml:space="preserve">тыс. рублей.</w:t>
      </w:r>
      <w:r>
        <w:rPr>
          <w:highlight w:val="white"/>
        </w:rPr>
        <w:t xml:space="preserve">»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866"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дополнить статьей 3</w:t>
      </w:r>
      <w:r>
        <w:rPr>
          <w:rFonts w:ascii="Times New Roman" w:hAnsi="Times New Roman"/>
          <w:sz w:val="28"/>
          <w:szCs w:val="28"/>
          <w:vertAlign w:val="superscript"/>
        </w:rPr>
        <w:t xml:space="preserve">1</w:t>
      </w:r>
      <w:r>
        <w:rPr>
          <w:rFonts w:ascii="Times New Roman" w:hAnsi="Times New Roman"/>
          <w:sz w:val="28"/>
          <w:szCs w:val="28"/>
        </w:rPr>
        <w:t xml:space="preserve"> следующего содержания: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6"/>
        <w:ind w:firstLine="709"/>
        <w:jc w:val="both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Статья 3</w:t>
      </w:r>
      <w:r>
        <w:rPr>
          <w:rFonts w:ascii="Times New Roman" w:hAnsi="Times New Roman"/>
          <w:b/>
          <w:sz w:val="28"/>
          <w:szCs w:val="28"/>
          <w:vertAlign w:val="superscript"/>
          <w:lang w:eastAsia="ru-RU"/>
        </w:rPr>
        <w:t xml:space="preserve">1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. Источники внутреннего финансирования дефицита бюджета Фонда на 2026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год</w:t>
      </w:r>
      <w:r>
        <w:rPr>
          <w:rFonts w:ascii="Times New Roman" w:hAnsi="Times New Roman"/>
          <w:b/>
          <w:sz w:val="28"/>
          <w:szCs w:val="28"/>
          <w:lang w:eastAsia="ru-RU"/>
        </w:rPr>
      </w: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pStyle w:val="866"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highlight w:val="yellow"/>
          <w:lang w:eastAsia="ru-RU"/>
        </w:rPr>
      </w:pPr>
      <w:r>
        <w:rPr>
          <w:rFonts w:ascii="Times New Roman" w:hAnsi="Times New Roman"/>
          <w:sz w:val="28"/>
          <w:szCs w:val="28"/>
          <w:highlight w:val="yellow"/>
          <w:lang w:eastAsia="ru-RU"/>
        </w:rPr>
      </w:r>
      <w:r>
        <w:rPr>
          <w:rFonts w:ascii="Times New Roman" w:hAnsi="Times New Roman"/>
          <w:sz w:val="28"/>
          <w:szCs w:val="28"/>
          <w:highlight w:val="yellow"/>
          <w:lang w:eastAsia="ru-RU"/>
        </w:rPr>
      </w:r>
      <w:r>
        <w:rPr>
          <w:rFonts w:ascii="Times New Roman" w:hAnsi="Times New Roman"/>
          <w:sz w:val="28"/>
          <w:szCs w:val="28"/>
          <w:highlight w:val="yellow"/>
          <w:lang w:eastAsia="ru-RU"/>
        </w:rPr>
      </w:r>
    </w:p>
    <w:p>
      <w:pPr>
        <w:pStyle w:val="866"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Утвердить источники внутреннего финансирования дефицита бюджета Фонда на 2026</w:t>
      </w:r>
      <w:r>
        <w:rPr>
          <w:rFonts w:ascii="Times New Roman" w:hAnsi="Times New Roman"/>
          <w:sz w:val="28"/>
          <w:szCs w:val="28"/>
          <w:lang w:eastAsia="ru-RU"/>
        </w:rPr>
        <w:t xml:space="preserve"> год согласно </w:t>
      </w:r>
      <w:r>
        <w:rPr>
          <w:rFonts w:ascii="Times New Roman" w:hAnsi="Times New Roman"/>
          <w:sz w:val="28"/>
          <w:szCs w:val="28"/>
          <w:lang w:eastAsia="ru-RU"/>
        </w:rPr>
        <w:t xml:space="preserve">приложению 9 к</w:t>
      </w:r>
      <w:r>
        <w:rPr>
          <w:rFonts w:ascii="Times New Roman" w:hAnsi="Times New Roman"/>
          <w:sz w:val="28"/>
          <w:szCs w:val="28"/>
          <w:lang w:eastAsia="ru-RU"/>
        </w:rPr>
        <w:t xml:space="preserve"> настоящему Закону.»;</w:t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866"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в части 2 статьи 4: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6"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 в абзаце первом цифры «</w:t>
      </w:r>
      <w:r>
        <w:rPr>
          <w:rFonts w:ascii="Times New Roman" w:hAnsi="Times New Roman"/>
          <w:sz w:val="28"/>
          <w:szCs w:val="28"/>
        </w:rPr>
        <w:t xml:space="preserve">24 389 994,0</w:t>
      </w:r>
      <w:r>
        <w:rPr>
          <w:rFonts w:ascii="Times New Roman" w:hAnsi="Times New Roman"/>
          <w:sz w:val="28"/>
          <w:szCs w:val="28"/>
        </w:rPr>
        <w:t xml:space="preserve">» заменить цифрами </w:t>
        <w:br/>
        <w:t xml:space="preserve">«</w:t>
      </w:r>
      <w:r>
        <w:rPr>
          <w:rFonts w:ascii="Times New Roman" w:hAnsi="Times New Roman"/>
          <w:sz w:val="28"/>
          <w:szCs w:val="28"/>
        </w:rPr>
        <w:t xml:space="preserve">27 875 769,0</w:t>
      </w:r>
      <w:r>
        <w:rPr>
          <w:rFonts w:ascii="Times New Roman" w:hAnsi="Times New Roman"/>
          <w:sz w:val="28"/>
          <w:szCs w:val="28"/>
        </w:rPr>
        <w:t xml:space="preserve">»;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highlight w:val="none"/>
          <w14:ligatures w14:val="none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>
        <w:rPr>
          <w:rFonts w:ascii="Times New Roman" w:hAnsi="Times New Roman"/>
          <w:sz w:val="28"/>
          <w:szCs w:val="28"/>
        </w:rPr>
        <w:t xml:space="preserve">пункт 2 изложить в следующей редакции:</w:t>
      </w:r>
      <w:r>
        <w:rPr>
          <w:rFonts w:ascii="Times New Roman" w:hAnsi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/>
          <w:sz w:val="28"/>
          <w:szCs w:val="28"/>
          <w:highlight w:val="none"/>
          <w14:ligatures w14:val="none"/>
        </w:rPr>
      </w:r>
    </w:p>
    <w:p>
      <w:pPr>
        <w:pStyle w:val="881"/>
        <w:ind w:firstLine="709"/>
        <w:jc w:val="both"/>
      </w:pPr>
      <w:r>
        <w:rPr>
          <w:rFonts w:ascii="Times New Roman" w:hAnsi="Times New Roman"/>
          <w:sz w:val="28"/>
          <w:szCs w:val="28"/>
          <w:highlight w:val="none"/>
        </w:rPr>
        <w:t xml:space="preserve">«</w:t>
      </w:r>
      <w:r>
        <w:t xml:space="preserve">2) на финансовое обеспечение дополните</w:t>
      </w:r>
      <w:r>
        <w:t xml:space="preserve">льных видов и условий оказания медицинской помощи, предоставляемых в дополнение </w:t>
        <w:br/>
        <w:t xml:space="preserve">к установленным базовой программой обязательного медицинского страхования, в сумме </w:t>
      </w:r>
      <w:r>
        <w:t xml:space="preserve">18 164 854,0 тыс. рублей;</w:t>
      </w:r>
      <w:r>
        <w:t xml:space="preserve">»</w:t>
      </w:r>
      <w:r/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14:ligatures w14:val="none"/>
        </w:rPr>
      </w:pPr>
      <w:r>
        <w:rPr>
          <w:rFonts w:ascii="Times New Roman" w:hAnsi="Times New Roman"/>
          <w:sz w:val="28"/>
          <w:szCs w:val="28"/>
        </w:rPr>
        <w:t xml:space="preserve">в)</w:t>
      </w:r>
      <w:r>
        <w:rPr>
          <w:rFonts w:ascii="Times New Roman" w:hAnsi="Times New Roman"/>
          <w:sz w:val="28"/>
          <w:szCs w:val="28"/>
        </w:rPr>
        <w:t xml:space="preserve"> </w:t>
      </w:r>
      <w:r>
        <w:rPr>
          <w:rFonts w:ascii="Times New Roman" w:hAnsi="Times New Roman"/>
          <w:sz w:val="28"/>
          <w:szCs w:val="28"/>
        </w:rPr>
        <w:t xml:space="preserve">пункт 4 изложить в следующей редакции:</w:t>
      </w:r>
      <w:r>
        <w:rPr>
          <w:rFonts w:ascii="Times New Roman" w:hAnsi="Times New Roman"/>
          <w:sz w:val="28"/>
          <w:szCs w:val="28"/>
          <w14:ligatures w14:val="none"/>
        </w:rPr>
      </w:r>
      <w:r>
        <w:rPr>
          <w:rFonts w:ascii="Times New Roman" w:hAnsi="Times New Roman"/>
          <w:sz w:val="28"/>
          <w:szCs w:val="28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14:ligatures w14:val="none"/>
        </w:rPr>
      </w:pPr>
      <w:r>
        <w:rPr>
          <w:rFonts w:ascii="Times New Roman" w:hAnsi="Times New Roman"/>
          <w:sz w:val="28"/>
          <w:szCs w:val="28"/>
        </w:rPr>
        <w:t xml:space="preserve">«</w:t>
      </w:r>
      <w:r>
        <w:rPr>
          <w:rFonts w:ascii="Times New Roman" w:hAnsi="Times New Roman"/>
          <w:sz w:val="28"/>
          <w:szCs w:val="28"/>
        </w:rPr>
        <w:t xml:space="preserve">4) на дополнительное финансовое обеспечение реализации Московской областной программы обязательного медицинского страхования в части базовой программы обязательного медицинского страхования в сумме </w:t>
        <w:br/>
        <w:t xml:space="preserve">7 177 031,0</w:t>
      </w:r>
      <w:r>
        <w:rPr>
          <w:rFonts w:ascii="Times New Roman" w:hAnsi="Times New Roman"/>
          <w:sz w:val="28"/>
          <w:szCs w:val="28"/>
        </w:rPr>
        <w:t xml:space="preserve"> тыс. рублей.</w:t>
      </w:r>
      <w:r>
        <w:rPr>
          <w:rFonts w:ascii="Times New Roman" w:hAnsi="Times New Roman"/>
          <w:sz w:val="28"/>
          <w:szCs w:val="28"/>
        </w:rPr>
        <w:t xml:space="preserve">»;</w:t>
      </w:r>
      <w:r>
        <w:rPr>
          <w:rFonts w:ascii="Times New Roman" w:hAnsi="Times New Roman"/>
          <w:sz w:val="28"/>
          <w:szCs w:val="28"/>
          <w14:ligatures w14:val="none"/>
        </w:rPr>
      </w:r>
      <w:r>
        <w:rPr>
          <w:rFonts w:ascii="Times New Roman" w:hAnsi="Times New Roman"/>
          <w:sz w:val="28"/>
          <w:szCs w:val="28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  <w14:ligatures w14:val="none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4) </w:t>
      </w:r>
      <w:r>
        <w:rPr>
          <w:rFonts w:ascii="Times New Roman" w:hAnsi="Times New Roman"/>
          <w:sz w:val="28"/>
          <w:szCs w:val="28"/>
          <w:lang w:eastAsia="ru-RU"/>
        </w:rPr>
        <w:t xml:space="preserve">в части 4 статьи 5 цифры «</w:t>
      </w:r>
      <w:r>
        <w:rPr>
          <w:rFonts w:ascii="Times New Roman" w:hAnsi="Times New Roman"/>
          <w:sz w:val="28"/>
          <w:szCs w:val="28"/>
          <w:lang w:eastAsia="ru-RU"/>
        </w:rPr>
        <w:t xml:space="preserve">46 945 592,4</w:t>
      </w:r>
      <w:r>
        <w:rPr>
          <w:rFonts w:ascii="Times New Roman" w:hAnsi="Times New Roman"/>
          <w:sz w:val="28"/>
          <w:szCs w:val="28"/>
          <w:lang w:eastAsia="ru-RU"/>
        </w:rPr>
        <w:t xml:space="preserve">» заменить цифрами </w:t>
      </w:r>
      <w:r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t xml:space="preserve">«</w:t>
      </w:r>
      <w:r>
        <w:rPr>
          <w:rFonts w:ascii="Times New Roman" w:hAnsi="Times New Roman"/>
          <w:sz w:val="28"/>
          <w:szCs w:val="28"/>
          <w:lang w:eastAsia="ru-RU"/>
        </w:rPr>
        <w:t xml:space="preserve">51 591 579,3</w:t>
      </w:r>
      <w:r>
        <w:rPr>
          <w:rFonts w:ascii="Times New Roman" w:hAnsi="Times New Roman"/>
          <w:sz w:val="28"/>
          <w:szCs w:val="28"/>
          <w:lang w:eastAsia="ru-RU"/>
        </w:rPr>
        <w:t xml:space="preserve">»;</w:t>
      </w:r>
      <w:r>
        <w:rPr>
          <w:rFonts w:ascii="Times New Roman" w:hAnsi="Times New Roman"/>
          <w:sz w:val="28"/>
          <w:szCs w:val="28"/>
          <w:lang w:eastAsia="ru-RU"/>
          <w14:ligatures w14:val="none"/>
        </w:rPr>
      </w:r>
      <w:r>
        <w:rPr>
          <w:rFonts w:ascii="Times New Roman" w:hAnsi="Times New Roman"/>
          <w:sz w:val="28"/>
          <w:szCs w:val="28"/>
          <w:lang w:eastAsia="ru-RU"/>
          <w14:ligatures w14:val="none"/>
        </w:rPr>
      </w:r>
    </w:p>
    <w:p>
      <w:pPr>
        <w:pStyle w:val="866"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5) </w:t>
      </w:r>
      <w:r>
        <w:rPr>
          <w:rFonts w:ascii="Times New Roman" w:hAnsi="Times New Roman"/>
          <w:sz w:val="28"/>
          <w:szCs w:val="28"/>
          <w:lang w:eastAsia="ru-RU"/>
        </w:rPr>
        <w:fldChar w:fldCharType="begin"/>
      </w:r>
      <w:r>
        <w:rPr>
          <w:rFonts w:ascii="Times New Roman" w:hAnsi="Times New Roman"/>
          <w:sz w:val="28"/>
          <w:szCs w:val="28"/>
          <w:lang w:eastAsia="ru-RU"/>
        </w:rPr>
        <w:instrText xml:space="preserve"> HYPERLINK "consultantplus://offline/ref=328F5D8B6ABBBFF60CE7062F2188FF672E2456FDA10F8E6B5B2939B8F823948189EDDF85E57BE8AF2B0F73BC86EE81348060637596CEF622N6v6H" </w:instrText>
      </w:r>
      <w:r>
        <w:rPr>
          <w:rFonts w:ascii="Times New Roman" w:hAnsi="Times New Roman"/>
          <w:sz w:val="28"/>
          <w:szCs w:val="28"/>
          <w:lang w:eastAsia="ru-RU"/>
        </w:rPr>
        <w:fldChar w:fldCharType="separate"/>
      </w:r>
      <w:r>
        <w:rPr>
          <w:rFonts w:ascii="Times New Roman" w:hAnsi="Times New Roman"/>
          <w:sz w:val="28"/>
          <w:szCs w:val="28"/>
          <w:lang w:eastAsia="ru-RU"/>
        </w:rPr>
        <w:t xml:space="preserve">статью 6</w:t>
      </w:r>
      <w:r>
        <w:rPr>
          <w:rFonts w:ascii="Times New Roman" w:hAnsi="Times New Roman"/>
          <w:sz w:val="28"/>
          <w:szCs w:val="28"/>
          <w:lang w:eastAsia="ru-RU"/>
        </w:rPr>
        <w:fldChar w:fldCharType="end"/>
      </w:r>
      <w:r>
        <w:rPr>
          <w:rFonts w:ascii="Times New Roman" w:hAnsi="Times New Roman"/>
          <w:sz w:val="28"/>
          <w:szCs w:val="28"/>
          <w:lang w:eastAsia="ru-RU"/>
        </w:rPr>
        <w:t xml:space="preserve"> дополнить частями 3-9</w:t>
      </w:r>
      <w:r>
        <w:rPr>
          <w:rFonts w:ascii="Times New Roman" w:hAnsi="Times New Roman"/>
          <w:sz w:val="28"/>
          <w:szCs w:val="28"/>
          <w:lang w:eastAsia="ru-RU"/>
        </w:rPr>
        <w:t xml:space="preserve"> следующего содержания:</w:t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881"/>
        <w:ind w:firstLine="709"/>
        <w:jc w:val="both"/>
        <w:rPr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lang w:eastAsia="ru-RU"/>
        </w:rPr>
        <w:t xml:space="preserve">«</w:t>
      </w:r>
      <w:r>
        <w:t xml:space="preserve">3. Установить, что остатки субвенций из бюджета Федерального фонда обязательного медицинского страхования в сумме </w:t>
      </w:r>
      <w:r>
        <w:t xml:space="preserve">3</w:t>
      </w:r>
      <w:r>
        <w:t xml:space="preserve"> </w:t>
      </w:r>
      <w:r>
        <w:t xml:space="preserve">7</w:t>
      </w:r>
      <w:r>
        <w:t xml:space="preserve">1</w:t>
      </w:r>
      <w:r>
        <w:t xml:space="preserve">1</w:t>
      </w:r>
      <w:r>
        <w:t xml:space="preserve">,</w:t>
      </w:r>
      <w:r>
        <w:t xml:space="preserve">2</w:t>
      </w:r>
      <w:r>
        <w:t xml:space="preserve"> тыс. рублей, неиспользованные по состоянию на 1 января 202</w:t>
      </w:r>
      <w:r>
        <w:t xml:space="preserve">6</w:t>
      </w:r>
      <w:r>
        <w:t xml:space="preserve"> года, направляются в 202</w:t>
      </w:r>
      <w:r>
        <w:t xml:space="preserve">6</w:t>
      </w:r>
      <w:r>
        <w:t xml:space="preserve"> году на финансовое обеспечение организации обязат</w:t>
      </w:r>
      <w:r>
        <w:t xml:space="preserve">ельного медицинского страхования в Московской области в рамках базовой программы обязательного медицинского страхования.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881"/>
        <w:ind w:firstLine="709"/>
        <w:jc w:val="both"/>
        <w:rPr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4</w:t>
      </w:r>
      <w:r>
        <w:t xml:space="preserve">. Установить, что остатки межбюджетных трансфертов, передаваемых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</w:t>
      </w:r>
      <w:r>
        <w:t xml:space="preserve">кологических заболеваний в ходе проведения диспансеризации и профилактических медицинских осмотров населения, неиспользованные по состоянию на 1 января 202</w:t>
      </w:r>
      <w:r>
        <w:t xml:space="preserve">6</w:t>
      </w:r>
      <w:r>
        <w:t xml:space="preserve"> года </w:t>
        <w:br/>
        <w:t xml:space="preserve">в сумме </w:t>
      </w:r>
      <w:r>
        <w:t xml:space="preserve">6</w:t>
      </w:r>
      <w:r>
        <w:t xml:space="preserve">2</w:t>
      </w:r>
      <w:r>
        <w:t xml:space="preserve">9</w:t>
      </w:r>
      <w:r>
        <w:t xml:space="preserve">,</w:t>
      </w:r>
      <w:r>
        <w:t xml:space="preserve">3</w:t>
      </w:r>
      <w:r>
        <w:t xml:space="preserve"> тыс. рублей, направляются Фондом в 202</w:t>
      </w:r>
      <w:r>
        <w:t xml:space="preserve">6</w:t>
      </w:r>
      <w:r>
        <w:t xml:space="preserve"> году на те же цели.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881"/>
        <w:ind w:firstLine="709"/>
        <w:jc w:val="both"/>
        <w:rPr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5</w:t>
      </w:r>
      <w:r>
        <w:t xml:space="preserve">. Установить, что остатки средств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</w:t>
        <w:br/>
        <w:t xml:space="preserve">по приобретению и проведению ремонта медицинского обо</w:t>
      </w:r>
      <w:r>
        <w:t xml:space="preserve">рудования, неиспользованные на 1 января 202</w:t>
      </w:r>
      <w:r>
        <w:t xml:space="preserve">6</w:t>
      </w:r>
      <w:r>
        <w:t xml:space="preserve"> года в сумме </w:t>
      </w:r>
      <w:r>
        <w:t xml:space="preserve">1</w:t>
      </w:r>
      <w:r>
        <w:t xml:space="preserve">8</w:t>
      </w:r>
      <w:r>
        <w:t xml:space="preserve">5</w:t>
      </w:r>
      <w:r>
        <w:t xml:space="preserve"> </w:t>
      </w:r>
      <w:r>
        <w:t xml:space="preserve">7</w:t>
      </w:r>
      <w:r>
        <w:t xml:space="preserve">9</w:t>
      </w:r>
      <w:r>
        <w:t xml:space="preserve">8</w:t>
      </w:r>
      <w:r>
        <w:t xml:space="preserve">,</w:t>
      </w:r>
      <w:r>
        <w:t xml:space="preserve">4</w:t>
      </w:r>
      <w:r>
        <w:t xml:space="preserve"> тыс. рублей, направляются Фондом в 202</w:t>
      </w:r>
      <w:r>
        <w:t xml:space="preserve">6</w:t>
      </w:r>
      <w:r>
        <w:t xml:space="preserve"> году на те же цели.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881"/>
        <w:ind w:firstLine="709"/>
        <w:jc w:val="both"/>
        <w:rPr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6. Установить, что остатки средств неналоговых доходов в сумме </w:t>
        <w:br/>
      </w:r>
      <w:r>
        <w:t xml:space="preserve">8</w:t>
      </w:r>
      <w:r>
        <w:t xml:space="preserve">7</w:t>
      </w:r>
      <w:r>
        <w:t xml:space="preserve">7</w:t>
      </w:r>
      <w:r>
        <w:t xml:space="preserve">,</w:t>
      </w:r>
      <w:r>
        <w:t xml:space="preserve">3</w:t>
      </w:r>
      <w:r>
        <w:t xml:space="preserve"> тыс. рублей, неиспользованные по состоянию на 1 января 202</w:t>
      </w:r>
      <w:r>
        <w:t xml:space="preserve">6</w:t>
      </w:r>
      <w:r>
        <w:t xml:space="preserve"> года, направляются в 202</w:t>
      </w:r>
      <w:r>
        <w:t xml:space="preserve">6</w:t>
      </w:r>
      <w:r>
        <w:t xml:space="preserve"> году на финансовое обеспечение организации обязательного медицинского страхования на территории Моск</w:t>
      </w:r>
      <w:r>
        <w:t xml:space="preserve">овской области </w:t>
        <w:br/>
        <w:t xml:space="preserve">в рамках базовой программы обязательного медицинского страхования за счет иных источников.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881"/>
        <w:ind w:firstLine="709"/>
        <w:jc w:val="both"/>
        <w:rPr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7. Установить, что остатки межбюджетных трансфертов из бюджета Московской области в сумме </w:t>
      </w:r>
      <w:r>
        <w:t xml:space="preserve">1</w:t>
      </w:r>
      <w:r>
        <w:t xml:space="preserve">1</w:t>
      </w:r>
      <w:r>
        <w:t xml:space="preserve">,</w:t>
      </w:r>
      <w:r>
        <w:t xml:space="preserve">5</w:t>
      </w:r>
      <w:r>
        <w:t xml:space="preserve"> тыс. рублей, неиспользованные по состоянию на 1 января 202</w:t>
      </w:r>
      <w:r>
        <w:t xml:space="preserve">6</w:t>
      </w:r>
      <w:r>
        <w:t xml:space="preserve"> года, направляются в 202</w:t>
      </w:r>
      <w:r>
        <w:t xml:space="preserve">6</w:t>
      </w:r>
      <w:r>
        <w:t xml:space="preserve"> году на дополнительное финансовое обеспечение реализации Московской об</w:t>
      </w:r>
      <w:r>
        <w:t xml:space="preserve">ластной программы обязательного медицинского страхования в части базовой программы обязательного медицинского страхования </w:t>
      </w:r>
      <w:r>
        <w:t xml:space="preserve">д</w:t>
      </w:r>
      <w:r>
        <w:t xml:space="preserve">л</w:t>
      </w:r>
      <w:r>
        <w:t xml:space="preserve">я</w:t>
      </w:r>
      <w:r>
        <w:rPr>
          <w:lang w:eastAsia="ar-SA"/>
        </w:rPr>
        <w:t xml:space="preserve"> оплаты медицинской помощи, оказанной лицам, застрахованным </w:t>
      </w:r>
      <w:r>
        <w:rPr>
          <w:lang w:eastAsia="ar-SA"/>
        </w:rPr>
        <w:t xml:space="preserve">в Московской области, на территории других субъектов Российской Федерации</w:t>
      </w:r>
      <w:r>
        <w:rPr>
          <w:lang w:val="ru-RU"/>
        </w:rPr>
        <w:t xml:space="preserve">.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881"/>
        <w:ind w:firstLine="709"/>
        <w:jc w:val="both"/>
        <w:rPr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lang w:val="ru-RU"/>
        </w:rPr>
        <w:t xml:space="preserve">8. Установить, что остатки </w:t>
      </w:r>
      <w:r>
        <w:t xml:space="preserve">межбюджетных трансфертов из бюджета Московской области в сумме </w:t>
      </w:r>
      <w:r>
        <w:t xml:space="preserve">1</w:t>
      </w:r>
      <w:r>
        <w:t xml:space="preserve">9</w:t>
      </w:r>
      <w:r>
        <w:t xml:space="preserve"> </w:t>
      </w:r>
      <w:r>
        <w:t xml:space="preserve">5</w:t>
      </w:r>
      <w:r>
        <w:t xml:space="preserve">9</w:t>
      </w:r>
      <w:r>
        <w:t xml:space="preserve">8</w:t>
      </w:r>
      <w:r>
        <w:t xml:space="preserve">,</w:t>
      </w:r>
      <w:r>
        <w:t xml:space="preserve">4</w:t>
      </w:r>
      <w:r>
        <w:t xml:space="preserve"> тыс. рублей, неиспользованные </w:t>
        <w:br/>
        <w:t xml:space="preserve">по состоянию на 1 января 202</w:t>
      </w:r>
      <w:r>
        <w:t xml:space="preserve">6</w:t>
      </w:r>
      <w:r>
        <w:t xml:space="preserve"> года, направляются в 202</w:t>
      </w:r>
      <w:r>
        <w:t xml:space="preserve">6</w:t>
      </w:r>
      <w:r>
        <w:t xml:space="preserve"> году на</w:t>
      </w:r>
      <w:r>
        <w:t xml:space="preserve"> </w:t>
      </w:r>
      <w:r>
        <w:t xml:space="preserve">финансовое обеспечение дополнительных видов и условий оказания медицинской помощи,</w:t>
      </w:r>
      <w:r>
        <w:t xml:space="preserve"> </w:t>
      </w:r>
      <w:r>
        <w:t xml:space="preserve">не установленных базовой программой обязательного медицинского страхования</w:t>
      </w:r>
      <w:r>
        <w:t xml:space="preserve">.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881"/>
        <w:ind w:firstLine="709"/>
        <w:jc w:val="both"/>
        <w:rPr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lang w:val="ru-RU"/>
        </w:rPr>
        <w:t xml:space="preserve">9. Установить, что </w:t>
      </w:r>
      <w:r>
        <w:rPr>
          <w:lang w:val="ru-RU" w:eastAsia="ru-RU"/>
        </w:rPr>
        <w:t xml:space="preserve">остатки средств на 1 января 202</w:t>
      </w:r>
      <w:r>
        <w:rPr>
          <w:lang w:val="ru-RU" w:eastAsia="ru-RU"/>
        </w:rPr>
        <w:t xml:space="preserve">6</w:t>
      </w:r>
      <w:r>
        <w:rPr>
          <w:lang w:val="ru-RU" w:eastAsia="ru-RU"/>
        </w:rPr>
        <w:t xml:space="preserve"> года в сумме </w:t>
        <w:br/>
        <w:t xml:space="preserve">7 481,4</w:t>
      </w:r>
      <w:r>
        <w:rPr>
          <w:lang w:val="ru-RU"/>
        </w:rPr>
        <w:t xml:space="preserve"> </w:t>
      </w:r>
      <w:r>
        <w:rPr>
          <w:lang w:val="ru-RU" w:eastAsia="ru-RU"/>
        </w:rPr>
        <w:t xml:space="preserve">тыс. рублей, образовавшиеся в связи с неполным использованием бюджетных ассигнований, предусмотренных в бюджете Фонда на возмещение затрат по оплате стоимости медицинской помощи, оказанной медиц</w:t>
      </w:r>
      <w:r>
        <w:rPr>
          <w:lang w:val="ru-RU" w:eastAsia="ru-RU"/>
        </w:rPr>
        <w:t xml:space="preserve">инскими организациями, осуществляющими деятельность по Московской областной программе обязательного медицинского страхования, лицам, застрахованным по обязательному медицинскому страхованию в других субъектах Ро</w:t>
      </w:r>
      <w:r>
        <w:rPr>
          <w:lang w:eastAsia="ru-RU"/>
        </w:rPr>
        <w:t xml:space="preserve">ссийской Федерации, направляются Фондом в 202</w:t>
      </w:r>
      <w:r>
        <w:rPr>
          <w:lang w:val="ru-RU"/>
        </w:rPr>
        <w:t xml:space="preserve">6</w:t>
      </w:r>
      <w:r>
        <w:rPr>
          <w:lang w:eastAsia="ru-RU"/>
        </w:rPr>
        <w:t xml:space="preserve"> году на те же цели.</w:t>
      </w:r>
      <w:r>
        <w:t xml:space="preserve">»;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866"/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6</w:t>
      </w:r>
      <w:r>
        <w:rPr>
          <w:rFonts w:ascii="Times New Roman" w:hAnsi="Times New Roman"/>
          <w:sz w:val="28"/>
          <w:szCs w:val="28"/>
          <w:highlight w:val="white"/>
        </w:rPr>
        <w:t xml:space="preserve">) приложение 1 изложить в редакции согласно приложению 1 к настоящему Закону;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pStyle w:val="866"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7</w:t>
      </w:r>
      <w:r>
        <w:rPr>
          <w:rFonts w:ascii="Times New Roman" w:hAnsi="Times New Roman"/>
          <w:sz w:val="28"/>
          <w:szCs w:val="28"/>
          <w:highlight w:val="white"/>
        </w:rPr>
        <w:t xml:space="preserve">) </w:t>
      </w:r>
      <w:r>
        <w:rPr>
          <w:rFonts w:ascii="Times New Roman" w:hAnsi="Times New Roman"/>
          <w:sz w:val="28"/>
          <w:szCs w:val="28"/>
          <w:highlight w:val="white"/>
        </w:rPr>
        <w:t xml:space="preserve">приложение 2 изложить в редакции согласно приложению 2 к настоящему Закону;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8) </w:t>
      </w:r>
      <w:r>
        <w:rPr>
          <w:rFonts w:ascii="Times New Roman" w:hAnsi="Times New Roman"/>
          <w:sz w:val="28"/>
          <w:szCs w:val="28"/>
          <w:highlight w:val="white"/>
        </w:rPr>
        <w:t xml:space="preserve">приложение 3</w:t>
      </w:r>
      <w:r>
        <w:rPr>
          <w:rFonts w:ascii="Times New Roman" w:hAnsi="Times New Roman"/>
          <w:sz w:val="28"/>
          <w:szCs w:val="28"/>
          <w:highlight w:val="white"/>
        </w:rPr>
        <w:t xml:space="preserve"> из</w:t>
      </w:r>
      <w:r>
        <w:rPr>
          <w:rFonts w:ascii="Times New Roman" w:hAnsi="Times New Roman"/>
          <w:sz w:val="28"/>
          <w:szCs w:val="28"/>
        </w:rPr>
        <w:t xml:space="preserve">ложить в редакции согласно приложению 3 к настоящему Закону;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9) </w:t>
      </w:r>
      <w:r>
        <w:rPr>
          <w:rFonts w:ascii="Times New Roman" w:hAnsi="Times New Roman"/>
          <w:sz w:val="28"/>
          <w:szCs w:val="28"/>
          <w:highlight w:val="white"/>
        </w:rPr>
        <w:t xml:space="preserve">приложение 4 изложить в редакции согласно приложению 4 к настоящему Закону;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6"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10) п</w:t>
      </w:r>
      <w:r>
        <w:rPr>
          <w:rFonts w:ascii="Times New Roman" w:hAnsi="Times New Roman"/>
          <w:sz w:val="28"/>
          <w:szCs w:val="28"/>
        </w:rPr>
        <w:t xml:space="preserve">риложение 5 изложить в редакции согласно приложению 5</w:t>
      </w:r>
      <w:r>
        <w:rPr>
          <w:rFonts w:ascii="Times New Roman" w:hAnsi="Times New Roman"/>
          <w:sz w:val="28"/>
          <w:szCs w:val="28"/>
        </w:rPr>
        <w:br/>
        <w:t xml:space="preserve">к настоящему Закону;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66"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11) </w:t>
      </w: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риложение 6 изложить в редакции согласно приложению 6</w:t>
      </w:r>
      <w:r>
        <w:rPr>
          <w:rFonts w:ascii="Times New Roman" w:hAnsi="Times New Roman"/>
          <w:sz w:val="28"/>
          <w:szCs w:val="28"/>
        </w:rPr>
        <w:br/>
        <w:t xml:space="preserve">к настоящему Закону;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12) </w:t>
      </w: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риложение 7 изложить в редакции согласно приложению 7</w:t>
      </w:r>
      <w:r>
        <w:rPr>
          <w:rFonts w:ascii="Times New Roman" w:hAnsi="Times New Roman"/>
          <w:sz w:val="28"/>
          <w:szCs w:val="28"/>
        </w:rPr>
        <w:br/>
        <w:t xml:space="preserve">к настоящему Закону;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13) дополнить приложением 9 в редакции согласно приложению 8</w:t>
      </w:r>
      <w:r>
        <w:rPr>
          <w:rFonts w:ascii="Times New Roman" w:hAnsi="Times New Roman"/>
          <w:sz w:val="28"/>
          <w:szCs w:val="28"/>
        </w:rPr>
        <w:t xml:space="preserve"> </w:t>
        <w:br/>
        <w:t xml:space="preserve">к настоящему Закону.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6"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6"/>
        <w:ind w:firstLine="709"/>
        <w:jc w:val="both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Статья 2 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866"/>
        <w:ind w:firstLine="709"/>
        <w:jc w:val="both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883"/>
        <w:numPr>
          <w:ilvl w:val="0"/>
          <w:numId w:val="0"/>
        </w:numPr>
        <w:ind w:firstLine="709"/>
        <w:tabs>
          <w:tab w:val="left" w:pos="-142" w:leader="none"/>
        </w:tabs>
        <w:rPr>
          <w:rFonts w:eastAsia="Calibri"/>
        </w:rPr>
      </w:pPr>
      <w:r>
        <w:rPr>
          <w:rFonts w:eastAsia="Calibri"/>
        </w:rPr>
        <w:t xml:space="preserve">Настоящий Закон вступает в силу на следующий день после дня </w:t>
        <w:br w:type="textWrapping" w:clear="all"/>
        <w:t xml:space="preserve">его официального опубликования.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866"/>
        <w:jc w:val="both"/>
        <w:keepNext/>
        <w:spacing w:after="0"/>
        <w:rPr>
          <w:rFonts w:ascii="Times New Roman" w:hAnsi="Times New Roman" w:eastAsia="Times New Roman"/>
          <w:sz w:val="28"/>
          <w:szCs w:val="28"/>
          <w:lang w:eastAsia="ru-RU"/>
        </w:rPr>
        <w:outlineLvl w:val="3"/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66"/>
        <w:jc w:val="both"/>
        <w:keepNext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  <w:outlineLvl w:val="3"/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66"/>
        <w:jc w:val="both"/>
        <w:keepNext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  <w:outlineLvl w:val="3"/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66"/>
        <w:jc w:val="both"/>
        <w:keepNext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  <w:outlineLvl w:val="3"/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66"/>
        <w:jc w:val="both"/>
        <w:keepNext/>
        <w:spacing w:after="0" w:line="240" w:lineRule="auto"/>
        <w:rPr>
          <w:rFonts w:ascii="Times New Roman" w:hAnsi="Times New Roman" w:eastAsia="Times New Roman"/>
          <w:b/>
          <w:sz w:val="28"/>
          <w:szCs w:val="28"/>
          <w:lang w:eastAsia="ru-RU"/>
        </w:rPr>
        <w:outlineLvl w:val="3"/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Губернатор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pStyle w:val="866"/>
        <w:jc w:val="both"/>
        <w:keepNext/>
        <w:spacing w:after="0" w:line="240" w:lineRule="auto"/>
        <w:rPr>
          <w:rFonts w:ascii="Times New Roman" w:hAnsi="Times New Roman" w:eastAsia="Times New Roman"/>
          <w:b/>
          <w:sz w:val="28"/>
          <w:szCs w:val="28"/>
          <w:lang w:eastAsia="ru-RU"/>
        </w:rPr>
        <w:outlineLvl w:val="3"/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Московской области </w:t>
        <w:tab/>
        <w:tab/>
        <w:tab/>
        <w:tab/>
        <w:tab/>
        <w:tab/>
        <w:tab/>
        <w:t xml:space="preserve">        А.Ю. Воробьев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4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PAGE   \* MERGEFORMAT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</w:rPr>
      <w:t xml:space="preserve">2</w:t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/>
        <w:sz w:val="28"/>
        <w:szCs w:val="28"/>
      </w:rPr>
    </w:r>
    <w:r>
      <w:rPr>
        <w:rFonts w:ascii="Times New Roman" w:hAnsi="Times New Roman"/>
        <w:sz w:val="28"/>
        <w:szCs w:val="28"/>
      </w:rPr>
    </w:r>
  </w:p>
  <w:p>
    <w:pPr>
      <w:pStyle w:val="87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7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">
    <w:multiLevelType w:val="hybridMultilevel"/>
    <w:lvl w:ilvl="0">
      <w:start w:val="1"/>
      <w:numFmt w:val="decimal"/>
      <w:pStyle w:val="883"/>
      <w:isLgl w:val="false"/>
      <w:suff w:val="tab"/>
      <w:lvlText w:val="%1)"/>
      <w:lvlJc w:val="left"/>
      <w:pPr>
        <w:ind w:left="1211" w:hanging="360"/>
        <w:tabs>
          <w:tab w:val="num" w:pos="1211" w:leader="none"/>
        </w:tabs>
      </w:pPr>
      <w:rPr>
        <w:rFonts w:ascii="Times New Roman" w:hAnsi="Times New Roman" w:cs="Times New Roman"/>
        <w:b w:val="0"/>
        <w:i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  <w:tabs>
          <w:tab w:val="num" w:pos="1788" w:leader="none"/>
        </w:tabs>
      </w:pPr>
      <w:rPr>
        <w:rFonts w:ascii="Times New Roman" w:hAnsi="Times New Roman"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  <w:rPr>
        <w:rFonts w:ascii="Times New Roman" w:hAnsi="Times New Roman"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  <w:rPr>
        <w:rFonts w:ascii="Times New Roman" w:hAnsi="Times New Roman"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  <w:rPr>
        <w:rFonts w:ascii="Times New Roman" w:hAnsi="Times New Roman"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  <w:rPr>
        <w:rFonts w:ascii="Times New Roman" w:hAnsi="Times New Roman"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  <w:rPr>
        <w:rFonts w:ascii="Times New Roman" w:hAnsi="Times New Roman"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  <w:rPr>
        <w:rFonts w:ascii="Times New Roman" w:hAnsi="Times New Roman"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  <w:rPr>
        <w:rFonts w:ascii="Times New Roman" w:hAnsi="Times New Roman"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1069" w:hanging="360"/>
      </w:pPr>
      <w:rPr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8">
    <w:name w:val="Heading 1"/>
    <w:basedOn w:val="866"/>
    <w:next w:val="866"/>
    <w:link w:val="68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9">
    <w:name w:val="Heading 1 Char"/>
    <w:link w:val="688"/>
    <w:uiPriority w:val="9"/>
    <w:rPr>
      <w:rFonts w:ascii="Arial" w:hAnsi="Arial" w:eastAsia="Arial" w:cs="Arial"/>
      <w:sz w:val="40"/>
      <w:szCs w:val="40"/>
    </w:rPr>
  </w:style>
  <w:style w:type="paragraph" w:styleId="690">
    <w:name w:val="Heading 2"/>
    <w:basedOn w:val="866"/>
    <w:next w:val="866"/>
    <w:link w:val="69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1">
    <w:name w:val="Heading 2 Char"/>
    <w:link w:val="690"/>
    <w:uiPriority w:val="9"/>
    <w:rPr>
      <w:rFonts w:ascii="Arial" w:hAnsi="Arial" w:eastAsia="Arial" w:cs="Arial"/>
      <w:sz w:val="34"/>
    </w:rPr>
  </w:style>
  <w:style w:type="paragraph" w:styleId="692">
    <w:name w:val="Heading 3"/>
    <w:basedOn w:val="866"/>
    <w:next w:val="866"/>
    <w:link w:val="69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3">
    <w:name w:val="Heading 3 Char"/>
    <w:link w:val="692"/>
    <w:uiPriority w:val="9"/>
    <w:rPr>
      <w:rFonts w:ascii="Arial" w:hAnsi="Arial" w:eastAsia="Arial" w:cs="Arial"/>
      <w:sz w:val="30"/>
      <w:szCs w:val="30"/>
    </w:rPr>
  </w:style>
  <w:style w:type="paragraph" w:styleId="694">
    <w:name w:val="Heading 4"/>
    <w:basedOn w:val="866"/>
    <w:next w:val="866"/>
    <w:link w:val="69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5">
    <w:name w:val="Heading 4 Char"/>
    <w:link w:val="694"/>
    <w:uiPriority w:val="9"/>
    <w:rPr>
      <w:rFonts w:ascii="Arial" w:hAnsi="Arial" w:eastAsia="Arial" w:cs="Arial"/>
      <w:b/>
      <w:bCs/>
      <w:sz w:val="26"/>
      <w:szCs w:val="26"/>
    </w:rPr>
  </w:style>
  <w:style w:type="paragraph" w:styleId="696">
    <w:name w:val="Heading 5"/>
    <w:basedOn w:val="866"/>
    <w:next w:val="866"/>
    <w:link w:val="69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7">
    <w:name w:val="Heading 5 Char"/>
    <w:link w:val="696"/>
    <w:uiPriority w:val="9"/>
    <w:rPr>
      <w:rFonts w:ascii="Arial" w:hAnsi="Arial" w:eastAsia="Arial" w:cs="Arial"/>
      <w:b/>
      <w:bCs/>
      <w:sz w:val="24"/>
      <w:szCs w:val="24"/>
    </w:rPr>
  </w:style>
  <w:style w:type="paragraph" w:styleId="698">
    <w:name w:val="Heading 6"/>
    <w:basedOn w:val="866"/>
    <w:next w:val="866"/>
    <w:link w:val="69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9">
    <w:name w:val="Heading 6 Char"/>
    <w:link w:val="698"/>
    <w:uiPriority w:val="9"/>
    <w:rPr>
      <w:rFonts w:ascii="Arial" w:hAnsi="Arial" w:eastAsia="Arial" w:cs="Arial"/>
      <w:b/>
      <w:bCs/>
      <w:sz w:val="22"/>
      <w:szCs w:val="22"/>
    </w:rPr>
  </w:style>
  <w:style w:type="paragraph" w:styleId="700">
    <w:name w:val="Heading 7"/>
    <w:basedOn w:val="866"/>
    <w:next w:val="866"/>
    <w:link w:val="70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1">
    <w:name w:val="Heading 7 Char"/>
    <w:link w:val="70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2">
    <w:name w:val="Heading 8"/>
    <w:basedOn w:val="866"/>
    <w:next w:val="866"/>
    <w:link w:val="70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3">
    <w:name w:val="Heading 8 Char"/>
    <w:link w:val="702"/>
    <w:uiPriority w:val="9"/>
    <w:rPr>
      <w:rFonts w:ascii="Arial" w:hAnsi="Arial" w:eastAsia="Arial" w:cs="Arial"/>
      <w:i/>
      <w:iCs/>
      <w:sz w:val="22"/>
      <w:szCs w:val="22"/>
    </w:rPr>
  </w:style>
  <w:style w:type="paragraph" w:styleId="704">
    <w:name w:val="Heading 9"/>
    <w:basedOn w:val="866"/>
    <w:next w:val="866"/>
    <w:link w:val="70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5">
    <w:name w:val="Heading 9 Char"/>
    <w:link w:val="704"/>
    <w:uiPriority w:val="9"/>
    <w:rPr>
      <w:rFonts w:ascii="Arial" w:hAnsi="Arial" w:eastAsia="Arial" w:cs="Arial"/>
      <w:i/>
      <w:iCs/>
      <w:sz w:val="21"/>
      <w:szCs w:val="21"/>
    </w:rPr>
  </w:style>
  <w:style w:type="paragraph" w:styleId="706">
    <w:name w:val="List Paragraph"/>
    <w:basedOn w:val="866"/>
    <w:uiPriority w:val="34"/>
    <w:qFormat/>
    <w:pPr>
      <w:contextualSpacing/>
      <w:ind w:left="720"/>
    </w:pPr>
  </w:style>
  <w:style w:type="paragraph" w:styleId="707">
    <w:name w:val="No Spacing"/>
    <w:uiPriority w:val="1"/>
    <w:qFormat/>
    <w:pPr>
      <w:spacing w:before="0" w:after="0" w:line="240" w:lineRule="auto"/>
    </w:pPr>
  </w:style>
  <w:style w:type="paragraph" w:styleId="708">
    <w:name w:val="Title"/>
    <w:basedOn w:val="866"/>
    <w:next w:val="866"/>
    <w:link w:val="70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9">
    <w:name w:val="Title Char"/>
    <w:link w:val="708"/>
    <w:uiPriority w:val="10"/>
    <w:rPr>
      <w:sz w:val="48"/>
      <w:szCs w:val="48"/>
    </w:rPr>
  </w:style>
  <w:style w:type="paragraph" w:styleId="710">
    <w:name w:val="Subtitle"/>
    <w:basedOn w:val="866"/>
    <w:next w:val="866"/>
    <w:link w:val="711"/>
    <w:uiPriority w:val="11"/>
    <w:qFormat/>
    <w:pPr>
      <w:spacing w:before="200" w:after="200"/>
    </w:pPr>
    <w:rPr>
      <w:sz w:val="24"/>
      <w:szCs w:val="24"/>
    </w:rPr>
  </w:style>
  <w:style w:type="character" w:styleId="711">
    <w:name w:val="Subtitle Char"/>
    <w:link w:val="710"/>
    <w:uiPriority w:val="11"/>
    <w:rPr>
      <w:sz w:val="24"/>
      <w:szCs w:val="24"/>
    </w:rPr>
  </w:style>
  <w:style w:type="paragraph" w:styleId="712">
    <w:name w:val="Quote"/>
    <w:basedOn w:val="866"/>
    <w:next w:val="866"/>
    <w:link w:val="713"/>
    <w:uiPriority w:val="29"/>
    <w:qFormat/>
    <w:pPr>
      <w:ind w:left="720" w:right="720"/>
    </w:pPr>
    <w:rPr>
      <w:i/>
    </w:rPr>
  </w:style>
  <w:style w:type="character" w:styleId="713">
    <w:name w:val="Quote Char"/>
    <w:link w:val="712"/>
    <w:uiPriority w:val="29"/>
    <w:rPr>
      <w:i/>
    </w:rPr>
  </w:style>
  <w:style w:type="paragraph" w:styleId="714">
    <w:name w:val="Intense Quote"/>
    <w:basedOn w:val="866"/>
    <w:next w:val="866"/>
    <w:link w:val="71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5">
    <w:name w:val="Intense Quote Char"/>
    <w:link w:val="714"/>
    <w:uiPriority w:val="30"/>
    <w:rPr>
      <w:i/>
    </w:rPr>
  </w:style>
  <w:style w:type="paragraph" w:styleId="716">
    <w:name w:val="Header"/>
    <w:basedOn w:val="866"/>
    <w:link w:val="71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7">
    <w:name w:val="Header Char"/>
    <w:link w:val="716"/>
    <w:uiPriority w:val="99"/>
  </w:style>
  <w:style w:type="paragraph" w:styleId="718">
    <w:name w:val="Footer"/>
    <w:basedOn w:val="866"/>
    <w:link w:val="71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9">
    <w:name w:val="Footer Char"/>
    <w:link w:val="718"/>
    <w:uiPriority w:val="99"/>
  </w:style>
  <w:style w:type="paragraph" w:styleId="720">
    <w:name w:val="Caption"/>
    <w:basedOn w:val="866"/>
    <w:next w:val="866"/>
    <w:link w:val="72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1">
    <w:name w:val="Caption Char"/>
    <w:link w:val="720"/>
    <w:uiPriority w:val="35"/>
    <w:rPr>
      <w:b/>
      <w:bCs/>
      <w:color w:val="4f81bd" w:themeColor="accent1"/>
      <w:sz w:val="18"/>
      <w:szCs w:val="18"/>
    </w:rPr>
  </w:style>
  <w:style w:type="table" w:styleId="722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3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4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5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6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7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9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1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2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3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4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5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6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7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4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1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6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7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8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9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0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1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2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7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8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9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0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1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2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3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4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5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6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7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8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9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0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1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2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3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4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5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6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7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8">
    <w:name w:val="Hyperlink"/>
    <w:uiPriority w:val="99"/>
    <w:unhideWhenUsed/>
    <w:rPr>
      <w:color w:val="0000ff" w:themeColor="hyperlink"/>
      <w:u w:val="single"/>
    </w:rPr>
  </w:style>
  <w:style w:type="paragraph" w:styleId="849">
    <w:name w:val="footnote text"/>
    <w:basedOn w:val="866"/>
    <w:link w:val="850"/>
    <w:uiPriority w:val="99"/>
    <w:semiHidden/>
    <w:unhideWhenUsed/>
    <w:pPr>
      <w:spacing w:after="40" w:line="240" w:lineRule="auto"/>
    </w:pPr>
    <w:rPr>
      <w:sz w:val="18"/>
    </w:rPr>
  </w:style>
  <w:style w:type="character" w:styleId="850">
    <w:name w:val="Footnote Text Char"/>
    <w:link w:val="849"/>
    <w:uiPriority w:val="99"/>
    <w:rPr>
      <w:sz w:val="18"/>
    </w:rPr>
  </w:style>
  <w:style w:type="character" w:styleId="851">
    <w:name w:val="footnote reference"/>
    <w:uiPriority w:val="99"/>
    <w:unhideWhenUsed/>
    <w:rPr>
      <w:vertAlign w:val="superscript"/>
    </w:rPr>
  </w:style>
  <w:style w:type="paragraph" w:styleId="852">
    <w:name w:val="endnote text"/>
    <w:basedOn w:val="866"/>
    <w:link w:val="853"/>
    <w:uiPriority w:val="99"/>
    <w:semiHidden/>
    <w:unhideWhenUsed/>
    <w:pPr>
      <w:spacing w:after="0" w:line="240" w:lineRule="auto"/>
    </w:pPr>
    <w:rPr>
      <w:sz w:val="20"/>
    </w:rPr>
  </w:style>
  <w:style w:type="character" w:styleId="853">
    <w:name w:val="Endnote Text Char"/>
    <w:link w:val="852"/>
    <w:uiPriority w:val="99"/>
    <w:rPr>
      <w:sz w:val="20"/>
    </w:rPr>
  </w:style>
  <w:style w:type="character" w:styleId="854">
    <w:name w:val="endnote reference"/>
    <w:uiPriority w:val="99"/>
    <w:semiHidden/>
    <w:unhideWhenUsed/>
    <w:rPr>
      <w:vertAlign w:val="superscript"/>
    </w:rPr>
  </w:style>
  <w:style w:type="paragraph" w:styleId="855">
    <w:name w:val="toc 1"/>
    <w:basedOn w:val="866"/>
    <w:next w:val="866"/>
    <w:uiPriority w:val="39"/>
    <w:unhideWhenUsed/>
    <w:pPr>
      <w:ind w:left="0" w:right="0" w:firstLine="0"/>
      <w:spacing w:after="57"/>
    </w:pPr>
  </w:style>
  <w:style w:type="paragraph" w:styleId="856">
    <w:name w:val="toc 2"/>
    <w:basedOn w:val="866"/>
    <w:next w:val="866"/>
    <w:uiPriority w:val="39"/>
    <w:unhideWhenUsed/>
    <w:pPr>
      <w:ind w:left="283" w:right="0" w:firstLine="0"/>
      <w:spacing w:after="57"/>
    </w:pPr>
  </w:style>
  <w:style w:type="paragraph" w:styleId="857">
    <w:name w:val="toc 3"/>
    <w:basedOn w:val="866"/>
    <w:next w:val="866"/>
    <w:uiPriority w:val="39"/>
    <w:unhideWhenUsed/>
    <w:pPr>
      <w:ind w:left="567" w:right="0" w:firstLine="0"/>
      <w:spacing w:after="57"/>
    </w:pPr>
  </w:style>
  <w:style w:type="paragraph" w:styleId="858">
    <w:name w:val="toc 4"/>
    <w:basedOn w:val="866"/>
    <w:next w:val="866"/>
    <w:uiPriority w:val="39"/>
    <w:unhideWhenUsed/>
    <w:pPr>
      <w:ind w:left="850" w:right="0" w:firstLine="0"/>
      <w:spacing w:after="57"/>
    </w:pPr>
  </w:style>
  <w:style w:type="paragraph" w:styleId="859">
    <w:name w:val="toc 5"/>
    <w:basedOn w:val="866"/>
    <w:next w:val="866"/>
    <w:uiPriority w:val="39"/>
    <w:unhideWhenUsed/>
    <w:pPr>
      <w:ind w:left="1134" w:right="0" w:firstLine="0"/>
      <w:spacing w:after="57"/>
    </w:pPr>
  </w:style>
  <w:style w:type="paragraph" w:styleId="860">
    <w:name w:val="toc 6"/>
    <w:basedOn w:val="866"/>
    <w:next w:val="866"/>
    <w:uiPriority w:val="39"/>
    <w:unhideWhenUsed/>
    <w:pPr>
      <w:ind w:left="1417" w:right="0" w:firstLine="0"/>
      <w:spacing w:after="57"/>
    </w:pPr>
  </w:style>
  <w:style w:type="paragraph" w:styleId="861">
    <w:name w:val="toc 7"/>
    <w:basedOn w:val="866"/>
    <w:next w:val="866"/>
    <w:uiPriority w:val="39"/>
    <w:unhideWhenUsed/>
    <w:pPr>
      <w:ind w:left="1701" w:right="0" w:firstLine="0"/>
      <w:spacing w:after="57"/>
    </w:pPr>
  </w:style>
  <w:style w:type="paragraph" w:styleId="862">
    <w:name w:val="toc 8"/>
    <w:basedOn w:val="866"/>
    <w:next w:val="866"/>
    <w:uiPriority w:val="39"/>
    <w:unhideWhenUsed/>
    <w:pPr>
      <w:ind w:left="1984" w:right="0" w:firstLine="0"/>
      <w:spacing w:after="57"/>
    </w:pPr>
  </w:style>
  <w:style w:type="paragraph" w:styleId="863">
    <w:name w:val="toc 9"/>
    <w:basedOn w:val="866"/>
    <w:next w:val="866"/>
    <w:uiPriority w:val="39"/>
    <w:unhideWhenUsed/>
    <w:pPr>
      <w:ind w:left="2268" w:right="0" w:firstLine="0"/>
      <w:spacing w:after="57"/>
    </w:pPr>
  </w:style>
  <w:style w:type="paragraph" w:styleId="864">
    <w:name w:val="TOC Heading"/>
    <w:uiPriority w:val="39"/>
    <w:unhideWhenUsed/>
  </w:style>
  <w:style w:type="paragraph" w:styleId="865">
    <w:name w:val="table of figures"/>
    <w:basedOn w:val="866"/>
    <w:next w:val="866"/>
    <w:uiPriority w:val="99"/>
    <w:unhideWhenUsed/>
    <w:pPr>
      <w:spacing w:after="0" w:afterAutospacing="0"/>
    </w:pPr>
  </w:style>
  <w:style w:type="paragraph" w:styleId="866" w:default="1">
    <w:name w:val="Normal"/>
    <w:next w:val="866"/>
    <w:link w:val="866"/>
    <w:qFormat/>
    <w:pPr>
      <w:spacing w:after="200" w:line="276" w:lineRule="auto"/>
    </w:pPr>
    <w:rPr>
      <w:sz w:val="22"/>
      <w:szCs w:val="22"/>
      <w:lang w:val="ru-RU" w:eastAsia="en-US" w:bidi="ar-SA"/>
    </w:rPr>
  </w:style>
  <w:style w:type="paragraph" w:styleId="867">
    <w:name w:val="Заголовок 1"/>
    <w:basedOn w:val="866"/>
    <w:next w:val="866"/>
    <w:link w:val="878"/>
    <w:qFormat/>
    <w:pPr>
      <w:ind w:left="7740"/>
      <w:jc w:val="right"/>
      <w:keepNext/>
      <w:spacing w:after="0" w:line="240" w:lineRule="auto"/>
      <w:widowControl w:val="off"/>
      <w:outlineLvl w:val="0"/>
    </w:pPr>
    <w:rPr>
      <w:rFonts w:ascii="Times New Roman" w:hAnsi="Times New Roman" w:eastAsia="Times New Roman"/>
      <w:sz w:val="24"/>
      <w:szCs w:val="24"/>
      <w:lang w:val="en-US" w:eastAsia="en-US"/>
    </w:rPr>
  </w:style>
  <w:style w:type="character" w:styleId="868">
    <w:name w:val="Основной шрифт абзаца"/>
    <w:next w:val="868"/>
    <w:link w:val="866"/>
    <w:uiPriority w:val="1"/>
    <w:semiHidden/>
    <w:unhideWhenUsed/>
  </w:style>
  <w:style w:type="table" w:styleId="869">
    <w:name w:val="Обычная таблица"/>
    <w:next w:val="869"/>
    <w:link w:val="866"/>
    <w:uiPriority w:val="99"/>
    <w:semiHidden/>
    <w:unhideWhenUsed/>
    <w:tblPr/>
  </w:style>
  <w:style w:type="numbering" w:styleId="870">
    <w:name w:val="Нет списка"/>
    <w:next w:val="870"/>
    <w:link w:val="866"/>
    <w:uiPriority w:val="99"/>
    <w:semiHidden/>
    <w:unhideWhenUsed/>
  </w:style>
  <w:style w:type="paragraph" w:styleId="871">
    <w:name w:val="Абзац списка"/>
    <w:basedOn w:val="866"/>
    <w:next w:val="871"/>
    <w:link w:val="866"/>
    <w:uiPriority w:val="34"/>
    <w:qFormat/>
    <w:pPr>
      <w:contextualSpacing/>
      <w:ind w:left="720"/>
    </w:pPr>
  </w:style>
  <w:style w:type="paragraph" w:styleId="872">
    <w:name w:val="Текст выноски"/>
    <w:basedOn w:val="866"/>
    <w:next w:val="872"/>
    <w:link w:val="873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 w:eastAsia="en-US"/>
    </w:rPr>
  </w:style>
  <w:style w:type="character" w:styleId="873">
    <w:name w:val="Текст выноски Знак"/>
    <w:next w:val="873"/>
    <w:link w:val="872"/>
    <w:uiPriority w:val="99"/>
    <w:semiHidden/>
    <w:rPr>
      <w:rFonts w:ascii="Tahoma" w:hAnsi="Tahoma" w:eastAsia="Calibri" w:cs="Tahoma"/>
      <w:sz w:val="16"/>
      <w:szCs w:val="16"/>
    </w:rPr>
  </w:style>
  <w:style w:type="paragraph" w:styleId="874">
    <w:name w:val="Верхний колонтитул"/>
    <w:basedOn w:val="866"/>
    <w:next w:val="874"/>
    <w:link w:val="87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  <w:rPr>
      <w:sz w:val="20"/>
      <w:szCs w:val="20"/>
      <w:lang w:val="en-US" w:eastAsia="en-US"/>
    </w:rPr>
  </w:style>
  <w:style w:type="character" w:styleId="875">
    <w:name w:val="Верхний колонтитул Знак"/>
    <w:next w:val="875"/>
    <w:link w:val="874"/>
    <w:uiPriority w:val="99"/>
    <w:rPr>
      <w:rFonts w:ascii="Calibri" w:hAnsi="Calibri" w:eastAsia="Calibri" w:cs="Times New Roman"/>
    </w:rPr>
  </w:style>
  <w:style w:type="paragraph" w:styleId="876">
    <w:name w:val="Нижний колонтитул"/>
    <w:basedOn w:val="866"/>
    <w:next w:val="876"/>
    <w:link w:val="87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  <w:rPr>
      <w:sz w:val="20"/>
      <w:szCs w:val="20"/>
      <w:lang w:val="en-US" w:eastAsia="en-US"/>
    </w:rPr>
  </w:style>
  <w:style w:type="character" w:styleId="877">
    <w:name w:val="Нижний колонтитул Знак"/>
    <w:next w:val="877"/>
    <w:link w:val="876"/>
    <w:uiPriority w:val="99"/>
    <w:rPr>
      <w:rFonts w:ascii="Calibri" w:hAnsi="Calibri" w:eastAsia="Calibri" w:cs="Times New Roman"/>
    </w:rPr>
  </w:style>
  <w:style w:type="character" w:styleId="878">
    <w:name w:val="Заголовок 1 Знак"/>
    <w:next w:val="878"/>
    <w:link w:val="867"/>
    <w:rPr>
      <w:rFonts w:ascii="Times New Roman" w:hAnsi="Times New Roman" w:eastAsia="Times New Roman"/>
      <w:sz w:val="24"/>
      <w:szCs w:val="24"/>
    </w:rPr>
  </w:style>
  <w:style w:type="paragraph" w:styleId="879">
    <w:name w:val="загол"/>
    <w:basedOn w:val="866"/>
    <w:next w:val="866"/>
    <w:link w:val="866"/>
    <w:pPr>
      <w:jc w:val="center"/>
      <w:keepNext/>
      <w:spacing w:after="0" w:line="240" w:lineRule="auto"/>
      <w:widowControl w:val="off"/>
    </w:pPr>
    <w:rPr>
      <w:rFonts w:ascii="Times New Roman" w:hAnsi="Times New Roman" w:eastAsia="Times New Roman"/>
      <w:b/>
      <w:bCs/>
      <w:caps/>
      <w:sz w:val="24"/>
      <w:szCs w:val="24"/>
      <w:lang w:eastAsia="ru-RU"/>
    </w:rPr>
  </w:style>
  <w:style w:type="paragraph" w:styleId="880">
    <w:name w:val="Без интервала"/>
    <w:next w:val="880"/>
    <w:link w:val="866"/>
    <w:uiPriority w:val="1"/>
    <w:qFormat/>
    <w:rPr>
      <w:sz w:val="22"/>
      <w:szCs w:val="22"/>
      <w:lang w:val="ru-RU" w:eastAsia="en-US" w:bidi="ar-SA"/>
    </w:rPr>
  </w:style>
  <w:style w:type="paragraph" w:styleId="881">
    <w:name w:val="ConsPlusNormal"/>
    <w:next w:val="881"/>
    <w:link w:val="866"/>
    <w:rPr>
      <w:rFonts w:ascii="Times New Roman" w:hAnsi="Times New Roman" w:eastAsia="Times New Roman"/>
      <w:sz w:val="28"/>
      <w:szCs w:val="28"/>
      <w:lang w:val="ru-RU" w:eastAsia="ru-RU" w:bidi="ar-SA"/>
    </w:rPr>
  </w:style>
  <w:style w:type="paragraph" w:styleId="882">
    <w:name w:val="Рецензия"/>
    <w:next w:val="882"/>
    <w:link w:val="866"/>
    <w:hidden/>
    <w:uiPriority w:val="99"/>
    <w:semiHidden/>
    <w:rPr>
      <w:sz w:val="22"/>
      <w:szCs w:val="22"/>
      <w:lang w:val="ru-RU" w:eastAsia="en-US" w:bidi="ar-SA"/>
    </w:rPr>
  </w:style>
  <w:style w:type="paragraph" w:styleId="883">
    <w:name w:val="Нумерованный список"/>
    <w:basedOn w:val="866"/>
    <w:next w:val="883"/>
    <w:link w:val="866"/>
    <w:uiPriority w:val="99"/>
    <w:semiHidden/>
    <w:unhideWhenUsed/>
    <w:pPr>
      <w:numPr>
        <w:ilvl w:val="0"/>
        <w:numId w:val="7"/>
      </w:numPr>
      <w:jc w:val="both"/>
      <w:spacing w:after="0" w:line="240" w:lineRule="auto"/>
      <w:tabs>
        <w:tab w:val="left" w:pos="1134" w:leader="none"/>
      </w:tabs>
    </w:pPr>
    <w:rPr>
      <w:rFonts w:ascii="Times New Roman" w:hAnsi="Times New Roman" w:eastAsia="Times New Roman"/>
      <w:sz w:val="28"/>
      <w:szCs w:val="28"/>
      <w:lang w:eastAsia="ru-RU"/>
    </w:rPr>
  </w:style>
  <w:style w:type="character" w:styleId="884">
    <w:name w:val="Гиперссылка"/>
    <w:next w:val="884"/>
    <w:link w:val="866"/>
    <w:uiPriority w:val="99"/>
    <w:semiHidden/>
    <w:unhideWhenUsed/>
    <w:rPr>
      <w:color w:val="0563c1"/>
      <w:u w:val="single"/>
    </w:rPr>
  </w:style>
  <w:style w:type="character" w:styleId="885" w:default="1">
    <w:name w:val="Default Paragraph Font"/>
    <w:uiPriority w:val="1"/>
    <w:semiHidden/>
    <w:unhideWhenUsed/>
  </w:style>
  <w:style w:type="numbering" w:styleId="886" w:default="1">
    <w:name w:val="No List"/>
    <w:uiPriority w:val="99"/>
    <w:semiHidden/>
    <w:unhideWhenUsed/>
  </w:style>
  <w:style w:type="table" w:styleId="887" w:default="1">
    <w:name w:val="Normal Table"/>
    <w:uiPriority w:val="99"/>
    <w:semiHidden/>
    <w:unhideWhenUsed/>
    <w:tblPr/>
  </w:style>
  <w:style w:type="paragraph" w:styleId="888" w:customStyle="1">
    <w:name w:val="ConsPlusTitle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Times New Roman" w:cs="Calibri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Hewlett-Packard Company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Дудакова Наталья Федоровна</dc:creator>
  <cp:lastModifiedBy>larina_nv</cp:lastModifiedBy>
  <cp:revision>320</cp:revision>
  <dcterms:created xsi:type="dcterms:W3CDTF">2019-04-05T11:07:00Z</dcterms:created>
  <dcterms:modified xsi:type="dcterms:W3CDTF">2026-05-07T13:27:00Z</dcterms:modified>
  <cp:version>1048576</cp:version>
</cp:coreProperties>
</file>